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3F" w:rsidRPr="00005BC0" w:rsidRDefault="00252CBD" w:rsidP="001C323F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</w:t>
      </w:r>
      <w:r w:rsidR="001C323F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1C323F" w:rsidRPr="00005BC0" w:rsidRDefault="001C323F" w:rsidP="001C323F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1C323F" w:rsidRPr="00005BC0" w:rsidRDefault="001C323F" w:rsidP="001C323F">
      <w:pPr>
        <w:jc w:val="center"/>
        <w:rPr>
          <w:rFonts w:ascii="Arial" w:hAnsi="Arial"/>
          <w:b/>
          <w:sz w:val="28"/>
          <w:szCs w:val="28"/>
        </w:rPr>
      </w:pPr>
    </w:p>
    <w:p w:rsidR="001C323F" w:rsidRPr="00005BC0" w:rsidRDefault="001C323F" w:rsidP="001C323F">
      <w:pPr>
        <w:jc w:val="center"/>
        <w:rPr>
          <w:rFonts w:ascii="Arial" w:hAnsi="Arial"/>
          <w:b/>
          <w:sz w:val="28"/>
          <w:szCs w:val="28"/>
        </w:rPr>
      </w:pPr>
    </w:p>
    <w:p w:rsidR="001C323F" w:rsidRPr="00005BC0" w:rsidRDefault="001C323F" w:rsidP="001C323F">
      <w:pPr>
        <w:jc w:val="center"/>
        <w:rPr>
          <w:rFonts w:ascii="Arial" w:hAnsi="Arial"/>
          <w:b/>
          <w:sz w:val="28"/>
          <w:szCs w:val="28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252CBD">
        <w:rPr>
          <w:rFonts w:ascii="Arial" w:hAnsi="Arial"/>
          <w:sz w:val="22"/>
          <w:szCs w:val="22"/>
        </w:rPr>
        <w:t>7</w:t>
      </w:r>
      <w:r w:rsidRPr="00005BC0">
        <w:rPr>
          <w:rFonts w:ascii="Arial" w:hAnsi="Arial"/>
          <w:sz w:val="22"/>
          <w:szCs w:val="22"/>
        </w:rPr>
        <w:t xml:space="preserve">. </w:t>
      </w:r>
      <w:r w:rsidR="00252CBD">
        <w:rPr>
          <w:rFonts w:ascii="Arial" w:hAnsi="Arial"/>
          <w:sz w:val="22"/>
          <w:szCs w:val="22"/>
        </w:rPr>
        <w:t>decembra</w:t>
      </w:r>
      <w:r w:rsidRPr="00005BC0">
        <w:rPr>
          <w:rFonts w:ascii="Arial" w:hAnsi="Arial"/>
          <w:sz w:val="22"/>
          <w:szCs w:val="22"/>
        </w:rPr>
        <w:t xml:space="preserve"> 2012</w:t>
      </w:r>
    </w:p>
    <w:p w:rsidR="001C323F" w:rsidRPr="000B378E" w:rsidRDefault="001C323F" w:rsidP="001C323F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C323F" w:rsidRPr="000B378E" w:rsidRDefault="001C323F" w:rsidP="001C32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C323F" w:rsidRPr="000B378E" w:rsidRDefault="001C323F" w:rsidP="001C32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C323F" w:rsidRPr="000B378E" w:rsidRDefault="001C323F" w:rsidP="001C32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C323F" w:rsidRPr="000B378E" w:rsidRDefault="001C323F" w:rsidP="001C323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C323F" w:rsidRPr="000B378E" w:rsidRDefault="001C323F" w:rsidP="001C323F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1C323F" w:rsidRPr="00174D92" w:rsidRDefault="001C323F" w:rsidP="001C323F">
      <w:pPr>
        <w:jc w:val="center"/>
        <w:rPr>
          <w:rFonts w:ascii="Arial" w:hAnsi="Arial" w:cs="Arial"/>
          <w:b/>
        </w:rPr>
      </w:pPr>
    </w:p>
    <w:p w:rsidR="007A3190" w:rsidRPr="00DB425F" w:rsidRDefault="007A3190" w:rsidP="007A3190">
      <w:pPr>
        <w:pBdr>
          <w:bottom w:val="single" w:sz="4" w:space="1" w:color="auto"/>
        </w:pBdr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2A172F">
        <w:rPr>
          <w:rFonts w:ascii="Arial" w:hAnsi="Arial" w:cs="Arial"/>
          <w:b/>
        </w:rPr>
        <w:t xml:space="preserve">na predaj </w:t>
      </w:r>
      <w:r>
        <w:rPr>
          <w:rFonts w:ascii="Arial" w:hAnsi="Arial" w:cs="Arial"/>
          <w:b/>
        </w:rPr>
        <w:t xml:space="preserve">na predaj </w:t>
      </w:r>
      <w:r w:rsidRPr="00DB425F">
        <w:rPr>
          <w:rFonts w:ascii="Arial" w:hAnsi="Arial" w:cs="Arial"/>
          <w:b/>
        </w:rPr>
        <w:t xml:space="preserve">prebytočného majetku – nehnuteľností </w:t>
      </w:r>
      <w:r>
        <w:rPr>
          <w:rFonts w:ascii="Arial" w:hAnsi="Arial" w:cs="Arial"/>
          <w:b/>
        </w:rPr>
        <w:t xml:space="preserve"> pozemky  pri budove Polikliniky  Senec, </w:t>
      </w:r>
      <w:r w:rsidRPr="00DB425F">
        <w:rPr>
          <w:rFonts w:ascii="Arial" w:hAnsi="Arial" w:cs="Arial"/>
          <w:b/>
        </w:rPr>
        <w:t xml:space="preserve">v k. ú. </w:t>
      </w:r>
      <w:r>
        <w:rPr>
          <w:rFonts w:ascii="Arial" w:hAnsi="Arial" w:cs="Arial"/>
          <w:b/>
        </w:rPr>
        <w:t>Senec</w:t>
      </w:r>
      <w:r w:rsidRPr="00DB425F">
        <w:rPr>
          <w:rFonts w:ascii="Arial" w:hAnsi="Arial" w:cs="Arial"/>
          <w:b/>
        </w:rPr>
        <w:t xml:space="preserve">, LV č. </w:t>
      </w:r>
      <w:r>
        <w:rPr>
          <w:rFonts w:ascii="Arial" w:hAnsi="Arial" w:cs="Arial"/>
          <w:b/>
        </w:rPr>
        <w:t>6488</w:t>
      </w:r>
    </w:p>
    <w:p w:rsidR="001C323F" w:rsidRPr="000B378E" w:rsidRDefault="001C323F" w:rsidP="001C323F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1C323F" w:rsidRPr="000B378E" w:rsidRDefault="001C323F" w:rsidP="001C323F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C323F" w:rsidRPr="00005BC0" w:rsidRDefault="001C323F" w:rsidP="001C323F">
      <w:pPr>
        <w:rPr>
          <w:rFonts w:ascii="Arial" w:hAnsi="Arial"/>
          <w:b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</w:p>
    <w:p w:rsidR="001C323F" w:rsidRPr="00005BC0" w:rsidRDefault="001C323F" w:rsidP="001C323F">
      <w:pPr>
        <w:ind w:left="4956" w:firstLine="708"/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obsahuje: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Materiál predkladá:</w:t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>1.Návrh uznesenia</w:t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Ivo Nesrovnal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2</w:t>
      </w:r>
      <w:r w:rsidRPr="00005BC0">
        <w:rPr>
          <w:rFonts w:ascii="Arial" w:hAnsi="Arial"/>
          <w:sz w:val="22"/>
          <w:szCs w:val="22"/>
        </w:rPr>
        <w:t>.Dôvodová správa</w:t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podpredseda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3</w:t>
      </w:r>
      <w:r w:rsidRPr="00005BC0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Prílohy</w:t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 samosprávneho kraja 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4.Stanoviská komisií</w:t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1C323F" w:rsidRPr="00005BC0" w:rsidRDefault="001C323F" w:rsidP="001C323F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Ing. Bystrík Žák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1C323F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both"/>
        <w:rPr>
          <w:rFonts w:ascii="Arial" w:hAnsi="Arial"/>
          <w:sz w:val="22"/>
          <w:szCs w:val="22"/>
          <w:u w:val="single"/>
        </w:rPr>
      </w:pPr>
    </w:p>
    <w:p w:rsidR="001C323F" w:rsidRPr="00005BC0" w:rsidRDefault="001C323F" w:rsidP="001C323F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1C323F" w:rsidRPr="00273735" w:rsidRDefault="00252CBD" w:rsidP="001C323F">
      <w:pPr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>december</w:t>
      </w:r>
      <w:r w:rsidR="001C323F" w:rsidRPr="00005BC0">
        <w:rPr>
          <w:rFonts w:ascii="Arial" w:hAnsi="Arial"/>
          <w:sz w:val="22"/>
          <w:szCs w:val="22"/>
        </w:rPr>
        <w:t xml:space="preserve"> 201</w:t>
      </w:r>
      <w:r w:rsidR="001C323F">
        <w:rPr>
          <w:rFonts w:ascii="Arial" w:hAnsi="Arial"/>
          <w:sz w:val="22"/>
          <w:szCs w:val="22"/>
        </w:rPr>
        <w:t>2</w:t>
      </w:r>
    </w:p>
    <w:p w:rsidR="0064738F" w:rsidRPr="002A172F" w:rsidRDefault="0064738F" w:rsidP="0064738F">
      <w:pPr>
        <w:jc w:val="both"/>
        <w:rPr>
          <w:rFonts w:ascii="Arial" w:eastAsia="Calibri" w:hAnsi="Arial" w:cs="Arial"/>
        </w:rPr>
      </w:pPr>
      <w:r w:rsidRPr="002A172F">
        <w:rPr>
          <w:rFonts w:ascii="Arial" w:eastAsia="Calibri" w:hAnsi="Arial" w:cs="Arial"/>
        </w:rPr>
        <w:lastRenderedPageBreak/>
        <w:t xml:space="preserve">                                                                                                           </w:t>
      </w:r>
    </w:p>
    <w:p w:rsidR="0064738F" w:rsidRPr="00DB425F" w:rsidRDefault="0064738F" w:rsidP="0064738F">
      <w:pPr>
        <w:rPr>
          <w:rFonts w:ascii="Arial" w:hAnsi="Arial" w:cs="Arial"/>
          <w:sz w:val="22"/>
          <w:szCs w:val="22"/>
        </w:rPr>
      </w:pPr>
    </w:p>
    <w:p w:rsidR="0064738F" w:rsidRPr="00DB425F" w:rsidRDefault="00252CBD" w:rsidP="0064738F">
      <w:pPr>
        <w:jc w:val="center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</w:t>
      </w:r>
      <w:r w:rsidR="0064738F" w:rsidRPr="00DB425F">
        <w:rPr>
          <w:rFonts w:ascii="Arial" w:hAnsi="Arial" w:cs="Arial"/>
          <w:lang w:eastAsia="cs-CZ"/>
        </w:rPr>
        <w:t xml:space="preserve"> á v r h   u z n e s e n i a </w:t>
      </w: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b/>
          <w:lang w:eastAsia="cs-CZ"/>
        </w:rPr>
      </w:pPr>
      <w:r w:rsidRPr="00DB425F">
        <w:rPr>
          <w:rFonts w:ascii="Arial" w:hAnsi="Arial" w:cs="Arial"/>
          <w:b/>
          <w:lang w:eastAsia="cs-CZ"/>
        </w:rPr>
        <w:t>UZNESENIE č. ....... / 2012</w:t>
      </w: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zo dňa </w:t>
      </w:r>
      <w:r w:rsidR="00252CBD">
        <w:rPr>
          <w:rFonts w:ascii="Arial" w:hAnsi="Arial" w:cs="Arial"/>
          <w:lang w:eastAsia="cs-CZ"/>
        </w:rPr>
        <w:t>7.12.2012</w:t>
      </w: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center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jc w:val="both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64738F" w:rsidRPr="00DB425F" w:rsidRDefault="0064738F" w:rsidP="0064738F">
      <w:pPr>
        <w:jc w:val="both"/>
        <w:rPr>
          <w:rFonts w:ascii="Arial" w:hAnsi="Arial" w:cs="Arial"/>
          <w:lang w:eastAsia="cs-CZ"/>
        </w:rPr>
      </w:pPr>
    </w:p>
    <w:p w:rsidR="0064738F" w:rsidRPr="00DB425F" w:rsidRDefault="0064738F" w:rsidP="0064738F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lang w:eastAsia="en-US"/>
        </w:rPr>
      </w:pPr>
    </w:p>
    <w:p w:rsidR="0064738F" w:rsidRPr="00E0709C" w:rsidRDefault="00E22EF4" w:rsidP="0064738F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eastAsia="Calibri" w:hAnsi="Arial"/>
          <w:b/>
          <w:lang w:eastAsia="en-US"/>
        </w:rPr>
      </w:pPr>
      <w:r>
        <w:rPr>
          <w:rFonts w:ascii="Arial" w:eastAsia="Calibri" w:hAnsi="Arial"/>
          <w:b/>
          <w:lang w:eastAsia="en-US"/>
        </w:rPr>
        <w:t>schvaľuje</w:t>
      </w:r>
    </w:p>
    <w:p w:rsidR="0064738F" w:rsidRPr="00DB425F" w:rsidRDefault="0064738F" w:rsidP="0064738F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64738F" w:rsidRPr="00DB425F" w:rsidRDefault="0064738F" w:rsidP="0064738F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lang w:eastAsia="en-US"/>
        </w:rPr>
      </w:pPr>
    </w:p>
    <w:p w:rsidR="0064738F" w:rsidRPr="00DB425F" w:rsidRDefault="0064738F" w:rsidP="0064738F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796B58">
        <w:rPr>
          <w:rFonts w:ascii="Arial" w:hAnsi="Arial" w:cs="Arial"/>
        </w:rPr>
        <w:t xml:space="preserve">predaj </w:t>
      </w:r>
      <w:r w:rsidRPr="00DB425F">
        <w:rPr>
          <w:rFonts w:ascii="Arial" w:hAnsi="Arial" w:cs="Arial"/>
        </w:rPr>
        <w:t>prebytočného majetku – nehnuteľností v </w:t>
      </w:r>
      <w:r w:rsidR="00796B58">
        <w:rPr>
          <w:rFonts w:ascii="Arial" w:hAnsi="Arial" w:cs="Arial"/>
        </w:rPr>
        <w:t>Senci</w:t>
      </w:r>
      <w:r w:rsidRPr="00DB425F">
        <w:rPr>
          <w:rFonts w:ascii="Arial" w:hAnsi="Arial" w:cs="Arial"/>
        </w:rPr>
        <w:t xml:space="preserve">, </w:t>
      </w:r>
      <w:r w:rsidR="00796B58">
        <w:rPr>
          <w:rFonts w:ascii="Arial" w:hAnsi="Arial" w:cs="Arial"/>
        </w:rPr>
        <w:t>pozemky pri budove Polikliniky Senec</w:t>
      </w:r>
      <w:r w:rsidRPr="00DB425F">
        <w:rPr>
          <w:rFonts w:ascii="Arial" w:hAnsi="Arial" w:cs="Arial"/>
        </w:rPr>
        <w:t>, nachádzajúc</w:t>
      </w:r>
      <w:r w:rsidR="00796B58">
        <w:rPr>
          <w:rFonts w:ascii="Arial" w:hAnsi="Arial" w:cs="Arial"/>
        </w:rPr>
        <w:t xml:space="preserve">e </w:t>
      </w:r>
      <w:r w:rsidRPr="00DB425F">
        <w:rPr>
          <w:rFonts w:ascii="Arial" w:hAnsi="Arial" w:cs="Arial"/>
        </w:rPr>
        <w:t xml:space="preserve"> sa v katastrálnom území </w:t>
      </w:r>
      <w:r w:rsidR="00796B58">
        <w:rPr>
          <w:rFonts w:ascii="Arial" w:hAnsi="Arial" w:cs="Arial"/>
        </w:rPr>
        <w:t>Senec</w:t>
      </w:r>
      <w:r w:rsidRPr="00DB425F">
        <w:rPr>
          <w:rFonts w:ascii="Arial" w:hAnsi="Arial" w:cs="Arial"/>
        </w:rPr>
        <w:t xml:space="preserve">, vedené na LV č. </w:t>
      </w:r>
      <w:r w:rsidR="00796B58">
        <w:rPr>
          <w:rFonts w:ascii="Arial" w:hAnsi="Arial" w:cs="Arial"/>
        </w:rPr>
        <w:t>6488</w:t>
      </w:r>
      <w:r w:rsidRPr="00DB425F">
        <w:rPr>
          <w:rFonts w:ascii="Arial" w:hAnsi="Arial" w:cs="Arial"/>
        </w:rPr>
        <w:t>:</w:t>
      </w:r>
    </w:p>
    <w:p w:rsidR="0064738F" w:rsidRPr="00DB425F" w:rsidRDefault="0064738F" w:rsidP="0064738F">
      <w:pPr>
        <w:ind w:left="769"/>
        <w:jc w:val="both"/>
        <w:rPr>
          <w:rFonts w:ascii="Arial" w:hAnsi="Arial" w:cs="Arial"/>
        </w:rPr>
      </w:pPr>
    </w:p>
    <w:p w:rsidR="0064738F" w:rsidRPr="00DB425F" w:rsidRDefault="0064738F" w:rsidP="0064738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parc. č. </w:t>
      </w:r>
      <w:r w:rsidR="00796B58">
        <w:rPr>
          <w:rFonts w:ascii="Arial" w:hAnsi="Arial" w:cs="Arial"/>
        </w:rPr>
        <w:t>981/1</w:t>
      </w:r>
      <w:r w:rsidRPr="00DB425F">
        <w:rPr>
          <w:rFonts w:ascii="Arial" w:hAnsi="Arial" w:cs="Arial"/>
        </w:rPr>
        <w:t xml:space="preserve"> o výmere  </w:t>
      </w:r>
      <w:r w:rsidR="00796B58">
        <w:rPr>
          <w:rFonts w:ascii="Arial" w:hAnsi="Arial" w:cs="Arial"/>
        </w:rPr>
        <w:t>3096</w:t>
      </w:r>
      <w:r w:rsidRPr="00DB425F">
        <w:rPr>
          <w:rFonts w:ascii="Arial" w:hAnsi="Arial" w:cs="Arial"/>
        </w:rPr>
        <w:t xml:space="preserve"> m2 , </w:t>
      </w:r>
      <w:r w:rsidR="00796B58" w:rsidRPr="00DB425F">
        <w:rPr>
          <w:rFonts w:ascii="Arial" w:hAnsi="Arial" w:cs="Arial"/>
        </w:rPr>
        <w:t>zastavané plochy a nádvoria</w:t>
      </w:r>
    </w:p>
    <w:p w:rsidR="0064738F" w:rsidRPr="00DB425F" w:rsidRDefault="0064738F" w:rsidP="0064738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parc. č. </w:t>
      </w:r>
      <w:r w:rsidR="00796B58">
        <w:rPr>
          <w:rFonts w:ascii="Arial" w:hAnsi="Arial" w:cs="Arial"/>
        </w:rPr>
        <w:t>981</w:t>
      </w:r>
      <w:r w:rsidRPr="00DB425F">
        <w:rPr>
          <w:rFonts w:ascii="Arial" w:hAnsi="Arial" w:cs="Arial"/>
        </w:rPr>
        <w:t>/</w:t>
      </w:r>
      <w:r>
        <w:rPr>
          <w:rFonts w:ascii="Arial" w:hAnsi="Arial" w:cs="Arial"/>
        </w:rPr>
        <w:t>2</w:t>
      </w:r>
      <w:r w:rsidRPr="00DB425F">
        <w:rPr>
          <w:rFonts w:ascii="Arial" w:hAnsi="Arial" w:cs="Arial"/>
        </w:rPr>
        <w:t>, o výmere  1</w:t>
      </w:r>
      <w:r w:rsidR="00796B58">
        <w:rPr>
          <w:rFonts w:ascii="Arial" w:hAnsi="Arial" w:cs="Arial"/>
        </w:rPr>
        <w:t>81</w:t>
      </w:r>
      <w:r w:rsidRPr="00DB425F">
        <w:rPr>
          <w:rFonts w:ascii="Arial" w:hAnsi="Arial" w:cs="Arial"/>
        </w:rPr>
        <w:t xml:space="preserve"> m2, zastavané plochy a nádvoria </w:t>
      </w:r>
    </w:p>
    <w:p w:rsidR="0064738F" w:rsidRPr="00DB425F" w:rsidRDefault="0064738F" w:rsidP="0064738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parc. č. </w:t>
      </w:r>
      <w:r w:rsidR="00796B58">
        <w:rPr>
          <w:rFonts w:ascii="Arial" w:hAnsi="Arial" w:cs="Arial"/>
        </w:rPr>
        <w:t>981</w:t>
      </w:r>
      <w:r w:rsidRPr="00DB425F">
        <w:rPr>
          <w:rFonts w:ascii="Arial" w:hAnsi="Arial" w:cs="Arial"/>
        </w:rPr>
        <w:t>/</w:t>
      </w:r>
      <w:r w:rsidR="00796B58">
        <w:rPr>
          <w:rFonts w:ascii="Arial" w:hAnsi="Arial" w:cs="Arial"/>
        </w:rPr>
        <w:t>7</w:t>
      </w:r>
      <w:r w:rsidRPr="00DB425F">
        <w:rPr>
          <w:rFonts w:ascii="Arial" w:hAnsi="Arial" w:cs="Arial"/>
        </w:rPr>
        <w:t xml:space="preserve">, o výmere  </w:t>
      </w:r>
      <w:r w:rsidR="00796B58">
        <w:rPr>
          <w:rFonts w:ascii="Arial" w:hAnsi="Arial" w:cs="Arial"/>
        </w:rPr>
        <w:t>8</w:t>
      </w:r>
      <w:r>
        <w:rPr>
          <w:rFonts w:ascii="Arial" w:hAnsi="Arial" w:cs="Arial"/>
        </w:rPr>
        <w:t>3</w:t>
      </w:r>
      <w:r w:rsidRPr="00DB425F">
        <w:rPr>
          <w:rFonts w:ascii="Arial" w:hAnsi="Arial" w:cs="Arial"/>
        </w:rPr>
        <w:t xml:space="preserve"> m2, zastavané plochy a nádvoria </w:t>
      </w:r>
    </w:p>
    <w:p w:rsidR="00796B58" w:rsidRDefault="0064738F" w:rsidP="0064738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parc. č. </w:t>
      </w:r>
      <w:r w:rsidR="00796B58">
        <w:rPr>
          <w:rFonts w:ascii="Arial" w:hAnsi="Arial" w:cs="Arial"/>
        </w:rPr>
        <w:t>981</w:t>
      </w:r>
      <w:r w:rsidRPr="00DB425F">
        <w:rPr>
          <w:rFonts w:ascii="Arial" w:hAnsi="Arial" w:cs="Arial"/>
        </w:rPr>
        <w:t>/</w:t>
      </w:r>
      <w:r w:rsidR="00796B58">
        <w:rPr>
          <w:rFonts w:ascii="Arial" w:hAnsi="Arial" w:cs="Arial"/>
        </w:rPr>
        <w:t>12</w:t>
      </w:r>
      <w:r w:rsidRPr="00DB425F">
        <w:rPr>
          <w:rFonts w:ascii="Arial" w:hAnsi="Arial" w:cs="Arial"/>
        </w:rPr>
        <w:t xml:space="preserve">, o výmere  </w:t>
      </w:r>
      <w:r w:rsidR="00796B58">
        <w:rPr>
          <w:rFonts w:ascii="Arial" w:hAnsi="Arial" w:cs="Arial"/>
        </w:rPr>
        <w:t>4346</w:t>
      </w:r>
      <w:r w:rsidRPr="00DB425F">
        <w:rPr>
          <w:rFonts w:ascii="Arial" w:hAnsi="Arial" w:cs="Arial"/>
        </w:rPr>
        <w:t xml:space="preserve"> m2, zastavané plochy a</w:t>
      </w:r>
      <w:r w:rsidR="00796B58">
        <w:rPr>
          <w:rFonts w:ascii="Arial" w:hAnsi="Arial" w:cs="Arial"/>
        </w:rPr>
        <w:t> </w:t>
      </w:r>
      <w:r w:rsidRPr="00DB425F">
        <w:rPr>
          <w:rFonts w:ascii="Arial" w:hAnsi="Arial" w:cs="Arial"/>
        </w:rPr>
        <w:t>nádvoria</w:t>
      </w:r>
    </w:p>
    <w:p w:rsidR="0064738F" w:rsidRDefault="0064738F" w:rsidP="00796B58">
      <w:pPr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 </w:t>
      </w:r>
    </w:p>
    <w:p w:rsidR="0064738F" w:rsidRPr="00DB425F" w:rsidRDefault="0064738F" w:rsidP="006473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spoločnosti </w:t>
      </w:r>
      <w:r w:rsidR="00796B58">
        <w:rPr>
          <w:rFonts w:ascii="Arial" w:hAnsi="Arial" w:cs="Arial"/>
        </w:rPr>
        <w:t>Pozemné stavby SC, s.r.o.</w:t>
      </w:r>
      <w:r>
        <w:rPr>
          <w:rFonts w:ascii="Arial" w:hAnsi="Arial" w:cs="Arial"/>
        </w:rPr>
        <w:t xml:space="preserve">, </w:t>
      </w:r>
      <w:r w:rsidR="00F13409">
        <w:rPr>
          <w:rFonts w:ascii="Arial" w:hAnsi="Arial" w:cs="Arial"/>
        </w:rPr>
        <w:t>Mliekárenská 1</w:t>
      </w:r>
      <w:r>
        <w:rPr>
          <w:rFonts w:ascii="Arial" w:hAnsi="Arial" w:cs="Arial"/>
        </w:rPr>
        <w:t>, 8</w:t>
      </w:r>
      <w:r w:rsidR="00F13409">
        <w:rPr>
          <w:rFonts w:ascii="Arial" w:hAnsi="Arial" w:cs="Arial"/>
        </w:rPr>
        <w:t>2</w:t>
      </w:r>
      <w:r>
        <w:rPr>
          <w:rFonts w:ascii="Arial" w:hAnsi="Arial" w:cs="Arial"/>
        </w:rPr>
        <w:t>1 0</w:t>
      </w:r>
      <w:r w:rsidR="00F1340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Bratislava, IČO: 4</w:t>
      </w:r>
      <w:r w:rsidR="00F13409">
        <w:rPr>
          <w:rFonts w:ascii="Arial" w:hAnsi="Arial" w:cs="Arial"/>
        </w:rPr>
        <w:t>3</w:t>
      </w:r>
      <w:r>
        <w:rPr>
          <w:rFonts w:ascii="Arial" w:hAnsi="Arial" w:cs="Arial"/>
        </w:rPr>
        <w:t> </w:t>
      </w:r>
      <w:r w:rsidR="00F13409">
        <w:rPr>
          <w:rFonts w:ascii="Arial" w:hAnsi="Arial" w:cs="Arial"/>
        </w:rPr>
        <w:t>871</w:t>
      </w:r>
      <w:r>
        <w:rPr>
          <w:rFonts w:ascii="Arial" w:hAnsi="Arial" w:cs="Arial"/>
        </w:rPr>
        <w:t> </w:t>
      </w:r>
      <w:r w:rsidR="00F13409">
        <w:rPr>
          <w:rFonts w:ascii="Arial" w:hAnsi="Arial" w:cs="Arial"/>
        </w:rPr>
        <w:t>4</w:t>
      </w:r>
      <w:r>
        <w:rPr>
          <w:rFonts w:ascii="Arial" w:hAnsi="Arial" w:cs="Arial"/>
        </w:rPr>
        <w:t>3</w:t>
      </w:r>
      <w:r w:rsidR="00F13409">
        <w:rPr>
          <w:rFonts w:ascii="Arial" w:hAnsi="Arial" w:cs="Arial"/>
        </w:rPr>
        <w:t>7</w:t>
      </w:r>
      <w:r>
        <w:rPr>
          <w:rFonts w:ascii="Arial" w:hAnsi="Arial" w:cs="Arial"/>
        </w:rPr>
        <w:t>,    za kúpnu cenu 50</w:t>
      </w:r>
      <w:r w:rsidR="00796B58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 000,- € s podmienkami: </w:t>
      </w:r>
    </w:p>
    <w:p w:rsidR="0064738F" w:rsidRPr="00DB425F" w:rsidRDefault="0064738F" w:rsidP="0064738F">
      <w:pPr>
        <w:ind w:left="905"/>
        <w:jc w:val="both"/>
        <w:rPr>
          <w:rFonts w:ascii="Arial" w:hAnsi="Arial" w:cs="Arial"/>
        </w:rPr>
      </w:pPr>
    </w:p>
    <w:p w:rsidR="0064738F" w:rsidRPr="00DB425F" w:rsidRDefault="0064738F" w:rsidP="0064738F">
      <w:pPr>
        <w:ind w:left="905"/>
        <w:jc w:val="both"/>
        <w:rPr>
          <w:rFonts w:ascii="Arial" w:hAnsi="Arial" w:cs="Arial"/>
        </w:rPr>
      </w:pPr>
    </w:p>
    <w:p w:rsidR="0064738F" w:rsidRPr="00DB425F" w:rsidRDefault="0064738F" w:rsidP="0064738F">
      <w:pPr>
        <w:jc w:val="both"/>
        <w:rPr>
          <w:rFonts w:ascii="Arial" w:hAnsi="Arial" w:cs="Arial"/>
        </w:rPr>
      </w:pPr>
    </w:p>
    <w:p w:rsidR="0064738F" w:rsidRPr="00DB425F" w:rsidRDefault="0064738F" w:rsidP="0064738F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kupujúci podpíše kúpnu zmluvu do 60 dní od schválenia uznesenia v Zastupiteľstve Bratislavského samosprávneho kraja s tým, že ak v tejto  lehote kupujúci nepodpíše kúpnu zmluvu uznesenie stráca platnosť,</w:t>
      </w:r>
    </w:p>
    <w:p w:rsidR="0064738F" w:rsidRPr="00DB425F" w:rsidRDefault="0064738F" w:rsidP="0064738F">
      <w:pPr>
        <w:tabs>
          <w:tab w:val="num" w:pos="426"/>
        </w:tabs>
        <w:ind w:left="426" w:hanging="426"/>
        <w:jc w:val="both"/>
        <w:rPr>
          <w:rFonts w:ascii="Arial" w:hAnsi="Arial" w:cs="Arial"/>
          <w:b/>
        </w:rPr>
      </w:pPr>
    </w:p>
    <w:p w:rsidR="00F13409" w:rsidRPr="00F13409" w:rsidRDefault="0064738F" w:rsidP="0064738F">
      <w:pPr>
        <w:pStyle w:val="Odsekzoznamu"/>
        <w:numPr>
          <w:ilvl w:val="1"/>
          <w:numId w:val="1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kupujúci uhradí kúpnu cenu do </w:t>
      </w:r>
      <w:r w:rsidR="000D2E61">
        <w:rPr>
          <w:rFonts w:ascii="Arial" w:hAnsi="Arial"/>
        </w:rPr>
        <w:t>30</w:t>
      </w:r>
      <w:r>
        <w:rPr>
          <w:rFonts w:ascii="Arial" w:hAnsi="Arial"/>
        </w:rPr>
        <w:t xml:space="preserve"> dní od podpísania kúpnej zmluvy obidvoma zmluvnými stranami</w:t>
      </w:r>
      <w:r w:rsidR="00F13409">
        <w:rPr>
          <w:rFonts w:ascii="Arial" w:hAnsi="Arial"/>
        </w:rPr>
        <w:t>.</w:t>
      </w:r>
    </w:p>
    <w:p w:rsidR="00F13409" w:rsidRPr="00F13409" w:rsidRDefault="00F13409" w:rsidP="00F13409">
      <w:pPr>
        <w:pStyle w:val="Odsekzoznamu"/>
        <w:rPr>
          <w:rFonts w:ascii="Arial" w:hAnsi="Arial"/>
        </w:rPr>
      </w:pPr>
    </w:p>
    <w:p w:rsidR="00F13409" w:rsidRDefault="00F13409" w:rsidP="00F13409">
      <w:pPr>
        <w:jc w:val="both"/>
        <w:rPr>
          <w:rFonts w:ascii="Arial" w:hAnsi="Arial"/>
        </w:rPr>
      </w:pPr>
    </w:p>
    <w:p w:rsidR="00F13409" w:rsidRDefault="00F13409" w:rsidP="00F13409">
      <w:pPr>
        <w:jc w:val="both"/>
        <w:rPr>
          <w:rFonts w:ascii="Arial" w:hAnsi="Arial"/>
        </w:rPr>
      </w:pPr>
    </w:p>
    <w:p w:rsidR="00F13409" w:rsidRDefault="00F13409" w:rsidP="00F13409">
      <w:pPr>
        <w:jc w:val="both"/>
        <w:rPr>
          <w:rFonts w:ascii="Arial" w:hAnsi="Arial"/>
        </w:rPr>
      </w:pPr>
    </w:p>
    <w:p w:rsidR="00F13409" w:rsidRDefault="00F13409" w:rsidP="00F13409">
      <w:pPr>
        <w:jc w:val="both"/>
        <w:rPr>
          <w:rFonts w:ascii="Arial" w:hAnsi="Arial"/>
        </w:rPr>
      </w:pPr>
    </w:p>
    <w:p w:rsidR="00F13409" w:rsidRDefault="00F13409" w:rsidP="00F13409">
      <w:pPr>
        <w:jc w:val="both"/>
        <w:rPr>
          <w:rFonts w:ascii="Arial" w:hAnsi="Arial"/>
        </w:rPr>
      </w:pPr>
    </w:p>
    <w:p w:rsidR="0064738F" w:rsidRPr="00F13409" w:rsidRDefault="0064738F" w:rsidP="00F13409">
      <w:pPr>
        <w:jc w:val="both"/>
        <w:rPr>
          <w:rFonts w:ascii="Arial" w:hAnsi="Arial"/>
          <w:b/>
        </w:rPr>
      </w:pPr>
      <w:r w:rsidRPr="00F13409">
        <w:rPr>
          <w:rFonts w:ascii="Arial" w:hAnsi="Arial"/>
        </w:rPr>
        <w:t xml:space="preserve"> </w:t>
      </w:r>
    </w:p>
    <w:p w:rsidR="0064738F" w:rsidRDefault="0064738F" w:rsidP="0064738F">
      <w:pPr>
        <w:pStyle w:val="Odsekzoznamu"/>
        <w:rPr>
          <w:rFonts w:ascii="Arial" w:hAnsi="Arial"/>
        </w:rPr>
      </w:pPr>
    </w:p>
    <w:p w:rsidR="00263F79" w:rsidRPr="00DB425F" w:rsidRDefault="00263F79" w:rsidP="0064738F">
      <w:pPr>
        <w:pStyle w:val="Odsekzoznamu"/>
        <w:rPr>
          <w:rFonts w:ascii="Arial" w:hAnsi="Arial"/>
        </w:rPr>
      </w:pPr>
    </w:p>
    <w:p w:rsidR="0064738F" w:rsidRPr="00DB425F" w:rsidRDefault="0064738F" w:rsidP="0064738F">
      <w:pPr>
        <w:pStyle w:val="Odsekzoznamu"/>
        <w:tabs>
          <w:tab w:val="num" w:pos="426"/>
        </w:tabs>
        <w:ind w:left="426" w:hanging="426"/>
        <w:rPr>
          <w:rFonts w:ascii="Arial" w:hAnsi="Arial"/>
        </w:rPr>
      </w:pPr>
    </w:p>
    <w:p w:rsidR="0064738F" w:rsidRPr="00DB425F" w:rsidRDefault="0064738F" w:rsidP="0064738F">
      <w:pPr>
        <w:pStyle w:val="Odsekzoznamu"/>
        <w:rPr>
          <w:rFonts w:ascii="Arial" w:hAnsi="Arial"/>
        </w:rPr>
      </w:pPr>
    </w:p>
    <w:p w:rsidR="0064738F" w:rsidRDefault="0064738F" w:rsidP="0064738F">
      <w:pPr>
        <w:pStyle w:val="Odsekzoznamu"/>
        <w:jc w:val="center"/>
        <w:rPr>
          <w:rFonts w:ascii="Arial" w:eastAsia="Calibri" w:hAnsi="Arial"/>
        </w:rPr>
      </w:pPr>
      <w:r>
        <w:rPr>
          <w:rFonts w:ascii="Arial" w:eastAsia="Calibri" w:hAnsi="Arial"/>
        </w:rPr>
        <w:lastRenderedPageBreak/>
        <w:t>Dôvodová správa</w:t>
      </w:r>
    </w:p>
    <w:p w:rsidR="00984A2D" w:rsidRDefault="00984A2D" w:rsidP="0064738F">
      <w:pPr>
        <w:pStyle w:val="Odsekzoznamu"/>
        <w:jc w:val="center"/>
        <w:rPr>
          <w:rFonts w:ascii="Arial" w:eastAsia="Calibri" w:hAnsi="Arial"/>
        </w:rPr>
      </w:pPr>
    </w:p>
    <w:p w:rsidR="0064738F" w:rsidRDefault="0064738F" w:rsidP="0064738F">
      <w:pPr>
        <w:pStyle w:val="Odsekzoznamu"/>
        <w:jc w:val="center"/>
        <w:rPr>
          <w:rFonts w:ascii="Arial" w:eastAsia="Calibri" w:hAnsi="Arial"/>
        </w:rPr>
      </w:pPr>
    </w:p>
    <w:p w:rsidR="0064738F" w:rsidRDefault="0064738F" w:rsidP="0064738F">
      <w:pPr>
        <w:pStyle w:val="Odsekzoznamu"/>
        <w:jc w:val="center"/>
        <w:rPr>
          <w:rFonts w:ascii="Arial" w:eastAsia="Calibri" w:hAnsi="Arial"/>
        </w:rPr>
      </w:pPr>
    </w:p>
    <w:p w:rsidR="0064738F" w:rsidRDefault="0064738F" w:rsidP="00F13409">
      <w:pPr>
        <w:ind w:left="709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</w:t>
      </w:r>
      <w:r w:rsidR="00F13409">
        <w:rPr>
          <w:rFonts w:ascii="Arial" w:eastAsia="Arial Unicode MS" w:hAnsi="Arial" w:cs="Arial"/>
        </w:rPr>
        <w:t>Pozemky sa nachádzajú v k. ú. Okresného mesta Senec v blízkosti hlavnej ulice prechádzajúcej mestom, z ktorej sú sprístupnené. Pozemky tvoria bezprostredné okolie trojpodlažnému zdravotníckemu objektu – poliklinika. Sú rovinaté. Pozemok parcelné č. 981/7 je zastavaný trafostanicou. Pozemky resp. stavebné objekty sú pripojené na všetky vybudované verejne dostupné inžinierske siete. Uvedené objekty boli predmetom Zmluvy o nájme uzatvorenej so spoločnosťou Poliklinika Senec, s.r.o.</w:t>
      </w:r>
    </w:p>
    <w:p w:rsidR="00AE12A5" w:rsidRDefault="00AE12A5" w:rsidP="00F13409">
      <w:pPr>
        <w:ind w:left="709"/>
        <w:jc w:val="both"/>
        <w:rPr>
          <w:rFonts w:ascii="Arial" w:eastAsia="Arial Unicode MS" w:hAnsi="Arial" w:cs="Arial"/>
        </w:rPr>
      </w:pPr>
    </w:p>
    <w:p w:rsidR="00AE12A5" w:rsidRPr="00DB425F" w:rsidRDefault="00AE12A5" w:rsidP="00F13409">
      <w:pPr>
        <w:ind w:left="709"/>
        <w:jc w:val="both"/>
        <w:rPr>
          <w:rFonts w:ascii="Arial" w:eastAsia="Calibri" w:hAnsi="Arial"/>
        </w:rPr>
      </w:pPr>
      <w:r>
        <w:rPr>
          <w:rFonts w:ascii="Arial" w:eastAsia="Arial Unicode MS" w:hAnsi="Arial" w:cs="Arial"/>
        </w:rPr>
        <w:t>Znaleckým posudkom č. 17/2010 vyhotoveným Dr. Ing. Romanom Chotárom bola stanovená všeobecná hodnota predmetných nehnuteľností vo výške  519 000,00 €.</w:t>
      </w:r>
    </w:p>
    <w:p w:rsidR="0064738F" w:rsidRDefault="0064738F" w:rsidP="0064738F">
      <w:pPr>
        <w:pStyle w:val="Odsekzoznamu"/>
        <w:jc w:val="center"/>
        <w:rPr>
          <w:rFonts w:ascii="Arial" w:eastAsia="Calibri" w:hAnsi="Arial"/>
        </w:rPr>
      </w:pPr>
    </w:p>
    <w:p w:rsidR="00674030" w:rsidRDefault="0064738F" w:rsidP="007E7A1B">
      <w:pPr>
        <w:pStyle w:val="Odsekzoznamu"/>
        <w:jc w:val="both"/>
        <w:rPr>
          <w:rFonts w:ascii="Arial" w:hAnsi="Arial"/>
        </w:rPr>
      </w:pPr>
      <w:r>
        <w:rPr>
          <w:rFonts w:ascii="Arial" w:eastAsia="Calibri" w:hAnsi="Arial"/>
        </w:rPr>
        <w:t xml:space="preserve">     Zastupiteľstvo Bratislavského samosprávneho kraja  Uznesením č. 34/2010  schválilo prebytočnosť predávaných nehnuteľností a predaj spôsobom vyhlásenia obchodnej verejnej súťaže. </w:t>
      </w:r>
      <w:r w:rsidR="00984A2D">
        <w:rPr>
          <w:rFonts w:ascii="Arial" w:eastAsia="Calibri" w:hAnsi="Arial"/>
        </w:rPr>
        <w:t>Obchodná verejná súťaž bola opakovane vyhlásená d</w:t>
      </w:r>
      <w:r>
        <w:rPr>
          <w:rFonts w:ascii="Arial" w:eastAsia="Calibri" w:hAnsi="Arial"/>
        </w:rPr>
        <w:t xml:space="preserve">ňa </w:t>
      </w:r>
      <w:r w:rsidR="00984A2D">
        <w:rPr>
          <w:rFonts w:ascii="Arial" w:eastAsia="Calibri" w:hAnsi="Arial"/>
        </w:rPr>
        <w:t>10</w:t>
      </w:r>
      <w:r>
        <w:rPr>
          <w:rFonts w:ascii="Arial" w:eastAsia="Calibri" w:hAnsi="Arial"/>
        </w:rPr>
        <w:t>.1</w:t>
      </w:r>
      <w:r w:rsidR="00984A2D">
        <w:rPr>
          <w:rFonts w:ascii="Arial" w:eastAsia="Calibri" w:hAnsi="Arial"/>
        </w:rPr>
        <w:t>1</w:t>
      </w:r>
      <w:r>
        <w:rPr>
          <w:rFonts w:ascii="Arial" w:eastAsia="Calibri" w:hAnsi="Arial"/>
        </w:rPr>
        <w:t>.201</w:t>
      </w:r>
      <w:r w:rsidR="00984A2D">
        <w:rPr>
          <w:rFonts w:ascii="Arial" w:eastAsia="Calibri" w:hAnsi="Arial"/>
        </w:rPr>
        <w:t>0, 4.10.2011,</w:t>
      </w:r>
      <w:r>
        <w:rPr>
          <w:rFonts w:ascii="Arial" w:eastAsia="Calibri" w:hAnsi="Arial"/>
        </w:rPr>
        <w:t xml:space="preserve"> </w:t>
      </w:r>
      <w:r w:rsidR="00A03D46">
        <w:rPr>
          <w:rFonts w:ascii="Arial" w:eastAsia="Calibri" w:hAnsi="Arial"/>
        </w:rPr>
        <w:t>avšak bezúspešne</w:t>
      </w:r>
      <w:r>
        <w:rPr>
          <w:rFonts w:ascii="Arial" w:eastAsia="Calibri" w:hAnsi="Arial"/>
        </w:rPr>
        <w:t xml:space="preserve">. Dňa 24.9.2012 bola opätovne vyhlásená obchodná verejná súťaž, kde Komisia na vyhodnotenie obchodných verejných súťaží na svojom zasadnutí dňa 31.10. 2012  prerokovala doručený  návrh  na kúpu nehnuteľného majetku </w:t>
      </w:r>
      <w:r w:rsidRPr="00DB425F">
        <w:rPr>
          <w:rFonts w:ascii="Arial" w:hAnsi="Arial"/>
        </w:rPr>
        <w:t>nachádzajúc</w:t>
      </w:r>
      <w:r>
        <w:rPr>
          <w:rFonts w:ascii="Arial" w:hAnsi="Arial"/>
        </w:rPr>
        <w:t xml:space="preserve">eho </w:t>
      </w:r>
      <w:r w:rsidRPr="00DB425F">
        <w:rPr>
          <w:rFonts w:ascii="Arial" w:hAnsi="Arial"/>
        </w:rPr>
        <w:t xml:space="preserve"> sa v katastrálnom území </w:t>
      </w:r>
      <w:r w:rsidR="00984A2D">
        <w:rPr>
          <w:rFonts w:ascii="Arial" w:hAnsi="Arial"/>
        </w:rPr>
        <w:t xml:space="preserve">Senec, </w:t>
      </w:r>
      <w:r w:rsidRPr="00DB425F">
        <w:rPr>
          <w:rFonts w:ascii="Arial" w:hAnsi="Arial"/>
        </w:rPr>
        <w:t>veden</w:t>
      </w:r>
      <w:r w:rsidR="00984A2D">
        <w:rPr>
          <w:rFonts w:ascii="Arial" w:hAnsi="Arial"/>
        </w:rPr>
        <w:t>om</w:t>
      </w:r>
      <w:r w:rsidRPr="00DB425F">
        <w:rPr>
          <w:rFonts w:ascii="Arial" w:hAnsi="Arial"/>
        </w:rPr>
        <w:t xml:space="preserve"> na LV č. </w:t>
      </w:r>
      <w:r w:rsidR="00984A2D">
        <w:rPr>
          <w:rFonts w:ascii="Arial" w:hAnsi="Arial"/>
        </w:rPr>
        <w:t>6488</w:t>
      </w:r>
      <w:r>
        <w:rPr>
          <w:rFonts w:ascii="Arial" w:hAnsi="Arial"/>
        </w:rPr>
        <w:t xml:space="preserve">, a to: </w:t>
      </w:r>
      <w:r w:rsidR="00984A2D">
        <w:rPr>
          <w:rFonts w:ascii="Arial" w:hAnsi="Arial"/>
        </w:rPr>
        <w:t>p</w:t>
      </w:r>
      <w:r w:rsidR="00984A2D" w:rsidRPr="00DB425F">
        <w:rPr>
          <w:rFonts w:ascii="Arial" w:hAnsi="Arial"/>
        </w:rPr>
        <w:t xml:space="preserve">ozemku parc. č. </w:t>
      </w:r>
      <w:r w:rsidR="00984A2D">
        <w:rPr>
          <w:rFonts w:ascii="Arial" w:hAnsi="Arial"/>
        </w:rPr>
        <w:t>981/1</w:t>
      </w:r>
      <w:r w:rsidR="00984A2D" w:rsidRPr="00DB425F">
        <w:rPr>
          <w:rFonts w:ascii="Arial" w:hAnsi="Arial"/>
        </w:rPr>
        <w:t xml:space="preserve"> o výmere  </w:t>
      </w:r>
      <w:r w:rsidR="00984A2D">
        <w:rPr>
          <w:rFonts w:ascii="Arial" w:hAnsi="Arial"/>
        </w:rPr>
        <w:t>3096</w:t>
      </w:r>
      <w:r w:rsidR="00984A2D" w:rsidRPr="00DB425F">
        <w:rPr>
          <w:rFonts w:ascii="Arial" w:hAnsi="Arial"/>
        </w:rPr>
        <w:t xml:space="preserve"> m2 , zastavané plochy a</w:t>
      </w:r>
      <w:r w:rsidR="00984A2D">
        <w:rPr>
          <w:rFonts w:ascii="Arial" w:hAnsi="Arial"/>
        </w:rPr>
        <w:t> </w:t>
      </w:r>
      <w:r w:rsidR="00984A2D" w:rsidRPr="00DB425F">
        <w:rPr>
          <w:rFonts w:ascii="Arial" w:hAnsi="Arial"/>
        </w:rPr>
        <w:t>nádvoria</w:t>
      </w:r>
      <w:r w:rsidR="00984A2D">
        <w:rPr>
          <w:rFonts w:ascii="Arial" w:hAnsi="Arial"/>
        </w:rPr>
        <w:t xml:space="preserve">, </w:t>
      </w:r>
      <w:r w:rsidR="00984A2D" w:rsidRPr="00DB425F">
        <w:rPr>
          <w:rFonts w:ascii="Arial" w:hAnsi="Arial"/>
        </w:rPr>
        <w:t xml:space="preserve">pozemku parc. č. </w:t>
      </w:r>
      <w:r w:rsidR="00984A2D">
        <w:rPr>
          <w:rFonts w:ascii="Arial" w:hAnsi="Arial"/>
        </w:rPr>
        <w:t>981</w:t>
      </w:r>
      <w:r w:rsidR="00984A2D" w:rsidRPr="00DB425F">
        <w:rPr>
          <w:rFonts w:ascii="Arial" w:hAnsi="Arial"/>
        </w:rPr>
        <w:t>/</w:t>
      </w:r>
      <w:r w:rsidR="00984A2D">
        <w:rPr>
          <w:rFonts w:ascii="Arial" w:hAnsi="Arial"/>
        </w:rPr>
        <w:t>2</w:t>
      </w:r>
      <w:r w:rsidR="00984A2D" w:rsidRPr="00DB425F">
        <w:rPr>
          <w:rFonts w:ascii="Arial" w:hAnsi="Arial"/>
        </w:rPr>
        <w:t>, o výmere  1</w:t>
      </w:r>
      <w:r w:rsidR="00984A2D">
        <w:rPr>
          <w:rFonts w:ascii="Arial" w:hAnsi="Arial"/>
        </w:rPr>
        <w:t>81</w:t>
      </w:r>
      <w:r w:rsidR="00984A2D" w:rsidRPr="00DB425F">
        <w:rPr>
          <w:rFonts w:ascii="Arial" w:hAnsi="Arial"/>
        </w:rPr>
        <w:t xml:space="preserve"> m2, zastavané plochy a</w:t>
      </w:r>
      <w:r w:rsidR="00984A2D">
        <w:rPr>
          <w:rFonts w:ascii="Arial" w:hAnsi="Arial"/>
        </w:rPr>
        <w:t> </w:t>
      </w:r>
      <w:r w:rsidR="00984A2D" w:rsidRPr="00DB425F">
        <w:rPr>
          <w:rFonts w:ascii="Arial" w:hAnsi="Arial"/>
        </w:rPr>
        <w:t>nádvoria</w:t>
      </w:r>
      <w:r w:rsidR="00984A2D">
        <w:rPr>
          <w:rFonts w:ascii="Arial" w:hAnsi="Arial"/>
        </w:rPr>
        <w:t xml:space="preserve">, </w:t>
      </w:r>
      <w:r w:rsidR="00984A2D" w:rsidRPr="00DB425F">
        <w:rPr>
          <w:rFonts w:ascii="Arial" w:hAnsi="Arial"/>
        </w:rPr>
        <w:t xml:space="preserve">pozemku parc. č. </w:t>
      </w:r>
      <w:r w:rsidR="00984A2D">
        <w:rPr>
          <w:rFonts w:ascii="Arial" w:hAnsi="Arial"/>
        </w:rPr>
        <w:t>981</w:t>
      </w:r>
      <w:r w:rsidR="00984A2D" w:rsidRPr="00DB425F">
        <w:rPr>
          <w:rFonts w:ascii="Arial" w:hAnsi="Arial"/>
        </w:rPr>
        <w:t>/</w:t>
      </w:r>
      <w:r w:rsidR="00984A2D">
        <w:rPr>
          <w:rFonts w:ascii="Arial" w:hAnsi="Arial"/>
        </w:rPr>
        <w:t>7</w:t>
      </w:r>
      <w:r w:rsidR="00984A2D" w:rsidRPr="00DB425F">
        <w:rPr>
          <w:rFonts w:ascii="Arial" w:hAnsi="Arial"/>
        </w:rPr>
        <w:t xml:space="preserve">, o výmere  </w:t>
      </w:r>
      <w:r w:rsidR="00984A2D">
        <w:rPr>
          <w:rFonts w:ascii="Arial" w:hAnsi="Arial"/>
        </w:rPr>
        <w:t>83</w:t>
      </w:r>
      <w:r w:rsidR="00984A2D" w:rsidRPr="00DB425F">
        <w:rPr>
          <w:rFonts w:ascii="Arial" w:hAnsi="Arial"/>
        </w:rPr>
        <w:t xml:space="preserve"> m2, zastavané plochy a</w:t>
      </w:r>
      <w:r w:rsidR="00984A2D">
        <w:rPr>
          <w:rFonts w:ascii="Arial" w:hAnsi="Arial"/>
        </w:rPr>
        <w:t> </w:t>
      </w:r>
      <w:r w:rsidR="00984A2D" w:rsidRPr="00DB425F">
        <w:rPr>
          <w:rFonts w:ascii="Arial" w:hAnsi="Arial"/>
        </w:rPr>
        <w:t>nádvoria</w:t>
      </w:r>
      <w:r w:rsidR="00984A2D">
        <w:rPr>
          <w:rFonts w:ascii="Arial" w:hAnsi="Arial"/>
        </w:rPr>
        <w:t xml:space="preserve">, </w:t>
      </w:r>
      <w:r w:rsidR="00984A2D" w:rsidRPr="00DB425F">
        <w:rPr>
          <w:rFonts w:ascii="Arial" w:hAnsi="Arial"/>
        </w:rPr>
        <w:t xml:space="preserve">pozemku parc. č. </w:t>
      </w:r>
      <w:r w:rsidR="00984A2D">
        <w:rPr>
          <w:rFonts w:ascii="Arial" w:hAnsi="Arial"/>
        </w:rPr>
        <w:t>981</w:t>
      </w:r>
      <w:r w:rsidR="00984A2D" w:rsidRPr="00DB425F">
        <w:rPr>
          <w:rFonts w:ascii="Arial" w:hAnsi="Arial"/>
        </w:rPr>
        <w:t>/</w:t>
      </w:r>
      <w:r w:rsidR="00984A2D">
        <w:rPr>
          <w:rFonts w:ascii="Arial" w:hAnsi="Arial"/>
        </w:rPr>
        <w:t>12</w:t>
      </w:r>
      <w:r w:rsidR="00984A2D" w:rsidRPr="00DB425F">
        <w:rPr>
          <w:rFonts w:ascii="Arial" w:hAnsi="Arial"/>
        </w:rPr>
        <w:t xml:space="preserve">, o výmere  </w:t>
      </w:r>
      <w:r w:rsidR="00984A2D">
        <w:rPr>
          <w:rFonts w:ascii="Arial" w:hAnsi="Arial"/>
        </w:rPr>
        <w:t>4346</w:t>
      </w:r>
      <w:r w:rsidR="00984A2D" w:rsidRPr="00DB425F">
        <w:rPr>
          <w:rFonts w:ascii="Arial" w:hAnsi="Arial"/>
        </w:rPr>
        <w:t xml:space="preserve"> m2, zastavané plochy a</w:t>
      </w:r>
      <w:r w:rsidR="00984A2D">
        <w:rPr>
          <w:rFonts w:ascii="Arial" w:hAnsi="Arial"/>
        </w:rPr>
        <w:t> </w:t>
      </w:r>
      <w:r w:rsidR="00984A2D" w:rsidRPr="00DB425F">
        <w:rPr>
          <w:rFonts w:ascii="Arial" w:hAnsi="Arial"/>
        </w:rPr>
        <w:t>nádvoria</w:t>
      </w:r>
      <w:r w:rsidR="00984A2D">
        <w:rPr>
          <w:rFonts w:ascii="Arial" w:hAnsi="Arial"/>
        </w:rPr>
        <w:t>.</w:t>
      </w:r>
      <w:r>
        <w:rPr>
          <w:rFonts w:ascii="Arial" w:hAnsi="Arial"/>
        </w:rPr>
        <w:t xml:space="preserve">    </w:t>
      </w:r>
    </w:p>
    <w:p w:rsidR="00674030" w:rsidRDefault="00674030" w:rsidP="007E7A1B">
      <w:pPr>
        <w:pStyle w:val="Odsekzoznamu"/>
        <w:jc w:val="both"/>
        <w:rPr>
          <w:rFonts w:ascii="Arial" w:hAnsi="Arial"/>
          <w:u w:val="single"/>
        </w:rPr>
      </w:pPr>
    </w:p>
    <w:p w:rsidR="007E7A1B" w:rsidRDefault="00674030" w:rsidP="007E7A1B">
      <w:pPr>
        <w:pStyle w:val="Odsekzoznamu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     </w:t>
      </w:r>
      <w:r w:rsidR="0064738F" w:rsidRPr="000D2E61">
        <w:rPr>
          <w:rFonts w:ascii="Arial" w:hAnsi="Arial"/>
          <w:u w:val="single"/>
        </w:rPr>
        <w:t xml:space="preserve">Predloženú ponuku doručila spoločnosť </w:t>
      </w:r>
      <w:r w:rsidR="00984A2D" w:rsidRPr="000D2E61">
        <w:rPr>
          <w:rFonts w:ascii="Arial" w:hAnsi="Arial"/>
          <w:u w:val="single"/>
        </w:rPr>
        <w:t>Pozemné stavby SC, s.r.o.</w:t>
      </w:r>
      <w:r w:rsidR="0064738F" w:rsidRPr="000D2E61">
        <w:rPr>
          <w:rFonts w:ascii="Arial" w:hAnsi="Arial"/>
          <w:u w:val="single"/>
        </w:rPr>
        <w:t xml:space="preserve">, </w:t>
      </w:r>
      <w:r w:rsidR="00984A2D" w:rsidRPr="000D2E61">
        <w:rPr>
          <w:rFonts w:ascii="Arial" w:hAnsi="Arial"/>
          <w:u w:val="single"/>
        </w:rPr>
        <w:t>Mliekárenská 1</w:t>
      </w:r>
      <w:r w:rsidR="0064738F" w:rsidRPr="000D2E61">
        <w:rPr>
          <w:rFonts w:ascii="Arial" w:hAnsi="Arial"/>
          <w:u w:val="single"/>
        </w:rPr>
        <w:t>, 8</w:t>
      </w:r>
      <w:r w:rsidR="00984A2D" w:rsidRPr="000D2E61">
        <w:rPr>
          <w:rFonts w:ascii="Arial" w:hAnsi="Arial"/>
          <w:u w:val="single"/>
        </w:rPr>
        <w:t>2</w:t>
      </w:r>
      <w:r w:rsidR="0064738F" w:rsidRPr="000D2E61">
        <w:rPr>
          <w:rFonts w:ascii="Arial" w:hAnsi="Arial"/>
          <w:u w:val="single"/>
        </w:rPr>
        <w:t>1 0</w:t>
      </w:r>
      <w:r w:rsidR="00984A2D" w:rsidRPr="000D2E61">
        <w:rPr>
          <w:rFonts w:ascii="Arial" w:hAnsi="Arial"/>
          <w:u w:val="single"/>
        </w:rPr>
        <w:t>9</w:t>
      </w:r>
      <w:r w:rsidR="0064738F" w:rsidRPr="000D2E61">
        <w:rPr>
          <w:rFonts w:ascii="Arial" w:hAnsi="Arial"/>
          <w:u w:val="single"/>
        </w:rPr>
        <w:t xml:space="preserve"> Bratislava, IČO: 4</w:t>
      </w:r>
      <w:r w:rsidR="00984A2D" w:rsidRPr="000D2E61">
        <w:rPr>
          <w:rFonts w:ascii="Arial" w:hAnsi="Arial"/>
          <w:u w:val="single"/>
        </w:rPr>
        <w:t>3</w:t>
      </w:r>
      <w:r w:rsidR="0064738F" w:rsidRPr="000D2E61">
        <w:rPr>
          <w:rFonts w:ascii="Arial" w:hAnsi="Arial"/>
          <w:u w:val="single"/>
        </w:rPr>
        <w:t> </w:t>
      </w:r>
      <w:r w:rsidR="00984A2D" w:rsidRPr="000D2E61">
        <w:rPr>
          <w:rFonts w:ascii="Arial" w:hAnsi="Arial"/>
          <w:u w:val="single"/>
        </w:rPr>
        <w:t>871</w:t>
      </w:r>
      <w:r w:rsidR="0064738F" w:rsidRPr="000D2E61">
        <w:rPr>
          <w:rFonts w:ascii="Arial" w:hAnsi="Arial"/>
          <w:u w:val="single"/>
        </w:rPr>
        <w:t> </w:t>
      </w:r>
      <w:r w:rsidR="00984A2D" w:rsidRPr="000D2E61">
        <w:rPr>
          <w:rFonts w:ascii="Arial" w:hAnsi="Arial"/>
          <w:u w:val="single"/>
        </w:rPr>
        <w:t>4</w:t>
      </w:r>
      <w:r w:rsidR="0064738F" w:rsidRPr="000D2E61">
        <w:rPr>
          <w:rFonts w:ascii="Arial" w:hAnsi="Arial"/>
          <w:u w:val="single"/>
        </w:rPr>
        <w:t>3</w:t>
      </w:r>
      <w:r w:rsidR="00984A2D" w:rsidRPr="000D2E61">
        <w:rPr>
          <w:rFonts w:ascii="Arial" w:hAnsi="Arial"/>
          <w:u w:val="single"/>
        </w:rPr>
        <w:t>7</w:t>
      </w:r>
      <w:r w:rsidR="0064738F" w:rsidRPr="000D2E61">
        <w:rPr>
          <w:rFonts w:ascii="Arial" w:hAnsi="Arial"/>
          <w:u w:val="single"/>
        </w:rPr>
        <w:t>, za ponúknutú cenu 50</w:t>
      </w:r>
      <w:r w:rsidR="00984A2D" w:rsidRPr="000D2E61">
        <w:rPr>
          <w:rFonts w:ascii="Arial" w:hAnsi="Arial"/>
          <w:u w:val="single"/>
        </w:rPr>
        <w:t>0</w:t>
      </w:r>
      <w:r w:rsidR="0064738F" w:rsidRPr="000D2E61">
        <w:rPr>
          <w:rFonts w:ascii="Arial" w:hAnsi="Arial"/>
          <w:u w:val="single"/>
        </w:rPr>
        <w:t xml:space="preserve"> 000,- € . </w:t>
      </w:r>
    </w:p>
    <w:p w:rsidR="007E7A1B" w:rsidRDefault="007E7A1B" w:rsidP="007E7A1B">
      <w:pPr>
        <w:pStyle w:val="Odsekzoznamu"/>
        <w:jc w:val="both"/>
        <w:rPr>
          <w:rFonts w:ascii="Arial" w:hAnsi="Arial"/>
          <w:u w:val="single"/>
        </w:rPr>
      </w:pPr>
    </w:p>
    <w:p w:rsidR="000C59F3" w:rsidRDefault="00674030" w:rsidP="007E7A1B">
      <w:pPr>
        <w:pStyle w:val="Odsekzoznamu"/>
        <w:jc w:val="both"/>
        <w:rPr>
          <w:rFonts w:ascii="Arial" w:hAnsi="Arial"/>
          <w:b/>
        </w:rPr>
        <w:sectPr w:rsidR="000C59F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/>
          <w:b/>
        </w:rPr>
        <w:t xml:space="preserve">     </w:t>
      </w:r>
      <w:r w:rsidR="00984A2D" w:rsidRPr="000D2E61">
        <w:rPr>
          <w:rFonts w:ascii="Arial" w:hAnsi="Arial"/>
          <w:b/>
        </w:rPr>
        <w:t>K</w:t>
      </w:r>
      <w:r w:rsidR="0064738F" w:rsidRPr="000D2E61">
        <w:rPr>
          <w:rFonts w:ascii="Arial" w:hAnsi="Arial"/>
          <w:b/>
        </w:rPr>
        <w:t>omisia</w:t>
      </w:r>
      <w:r w:rsidR="00984A2D" w:rsidRPr="000D2E61">
        <w:rPr>
          <w:rFonts w:ascii="Arial" w:hAnsi="Arial"/>
          <w:b/>
        </w:rPr>
        <w:t xml:space="preserve"> v zmysle Uznesenia č. 2</w:t>
      </w:r>
      <w:r w:rsidR="003C6E46" w:rsidRPr="000D2E61">
        <w:rPr>
          <w:rFonts w:ascii="Arial" w:hAnsi="Arial"/>
          <w:b/>
        </w:rPr>
        <w:t xml:space="preserve"> </w:t>
      </w:r>
      <w:r w:rsidR="0064738F" w:rsidRPr="000D2E61">
        <w:rPr>
          <w:rFonts w:ascii="Arial" w:hAnsi="Arial"/>
          <w:b/>
        </w:rPr>
        <w:t>odporúča</w:t>
      </w:r>
      <w:r w:rsidR="00984A2D" w:rsidRPr="000D2E61">
        <w:rPr>
          <w:rFonts w:ascii="Arial" w:hAnsi="Arial"/>
          <w:b/>
        </w:rPr>
        <w:t xml:space="preserve"> schváliť</w:t>
      </w:r>
      <w:r w:rsidR="0064738F" w:rsidRPr="000D2E61">
        <w:rPr>
          <w:rFonts w:ascii="Arial" w:hAnsi="Arial"/>
          <w:b/>
        </w:rPr>
        <w:t xml:space="preserve"> predaj  uvedených nehnuteľností,</w:t>
      </w:r>
      <w:r>
        <w:rPr>
          <w:rFonts w:ascii="Arial" w:hAnsi="Arial"/>
          <w:b/>
        </w:rPr>
        <w:t xml:space="preserve"> </w:t>
      </w:r>
      <w:r w:rsidR="00984A2D" w:rsidRPr="000D2E61">
        <w:rPr>
          <w:rFonts w:ascii="Arial" w:hAnsi="Arial"/>
          <w:b/>
        </w:rPr>
        <w:t>záujemcovi</w:t>
      </w:r>
      <w:r>
        <w:rPr>
          <w:rFonts w:ascii="Arial" w:hAnsi="Arial"/>
          <w:b/>
        </w:rPr>
        <w:t xml:space="preserve"> </w:t>
      </w:r>
      <w:r w:rsidR="00984A2D" w:rsidRPr="000D2E61">
        <w:rPr>
          <w:rFonts w:ascii="Arial" w:hAnsi="Arial"/>
          <w:b/>
        </w:rPr>
        <w:t>Pozemné stavby SC, s.r.o.</w:t>
      </w:r>
    </w:p>
    <w:p w:rsidR="00252CBD" w:rsidRDefault="000C59F3" w:rsidP="00252CB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</w:t>
      </w:r>
      <w:r w:rsidR="00252CBD">
        <w:rPr>
          <w:rFonts w:ascii="Arial" w:eastAsia="Arial Unicode MS" w:hAnsi="Arial" w:cs="Arial"/>
          <w:b/>
          <w:sz w:val="32"/>
          <w:szCs w:val="32"/>
        </w:rPr>
        <w:t xml:space="preserve">tanoviská komisií Zastupiteľstva BSK </w:t>
      </w:r>
    </w:p>
    <w:p w:rsidR="00252CBD" w:rsidRPr="00252CBD" w:rsidRDefault="00252CBD" w:rsidP="00252CBD">
      <w:pPr>
        <w:pBdr>
          <w:bottom w:val="single" w:sz="4" w:space="1" w:color="auto"/>
        </w:pBdr>
        <w:jc w:val="center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</w:pPr>
      <w:r>
        <w:rPr>
          <w:rFonts w:ascii="Arial" w:hAnsi="Arial" w:cs="Arial"/>
          <w:b/>
        </w:rPr>
        <w:t>Bod 12 :„</w:t>
      </w:r>
      <w:r w:rsidRPr="0090120F">
        <w:t xml:space="preserve"> </w:t>
      </w:r>
      <w:r>
        <w:t xml:space="preserve">Návrh </w:t>
      </w:r>
      <w:r w:rsidRPr="00252CBD">
        <w:rPr>
          <w:rFonts w:asciiTheme="minorHAnsi" w:hAnsiTheme="minorHAnsi" w:cstheme="minorHAnsi"/>
          <w:b/>
          <w:sz w:val="22"/>
          <w:szCs w:val="22"/>
        </w:rPr>
        <w:t>na predaj na predaj prebytočného majetku – nehnuteľností  pozemky  pri budove Polikliniky  Senec, v k. ú. Senec, LV č. 6488</w:t>
      </w:r>
    </w:p>
    <w:p w:rsidR="00252CBD" w:rsidRDefault="00252CBD" w:rsidP="00252CBD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6"/>
        <w:gridCol w:w="1985"/>
        <w:gridCol w:w="3319"/>
        <w:gridCol w:w="2209"/>
      </w:tblGrid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252CBD" w:rsidRDefault="00252CBD" w:rsidP="00252CB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pPr>
              <w:jc w:val="both"/>
            </w:pPr>
            <w:r>
              <w:t xml:space="preserve">Prítomní      </w:t>
            </w:r>
          </w:p>
          <w:p w:rsidR="00252CBD" w:rsidRDefault="00252CBD" w:rsidP="00252CBD">
            <w:pPr>
              <w:jc w:val="both"/>
            </w:pPr>
            <w:r>
              <w:t xml:space="preserve">Za                </w:t>
            </w:r>
          </w:p>
          <w:p w:rsidR="00252CBD" w:rsidRDefault="00252CBD" w:rsidP="00252CBD">
            <w:pPr>
              <w:jc w:val="both"/>
            </w:pPr>
            <w:r>
              <w:t xml:space="preserve">Proti            </w:t>
            </w:r>
          </w:p>
          <w:p w:rsidR="00252CBD" w:rsidRDefault="00252CBD" w:rsidP="00252CBD">
            <w:pPr>
              <w:jc w:val="both"/>
            </w:pPr>
            <w:r>
              <w:t xml:space="preserve">Zdržal sa      </w:t>
            </w:r>
          </w:p>
          <w:p w:rsidR="00252CBD" w:rsidRDefault="00252CBD" w:rsidP="00252CBD">
            <w:pPr>
              <w:jc w:val="both"/>
            </w:pPr>
            <w:r>
              <w:t xml:space="preserve">Nehlasoval  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 xml:space="preserve">Prítomní </w:t>
            </w:r>
          </w:p>
          <w:p w:rsidR="00252CBD" w:rsidRDefault="00252CBD" w:rsidP="00252CBD">
            <w:r>
              <w:t xml:space="preserve">Za           </w:t>
            </w:r>
          </w:p>
          <w:p w:rsidR="00252CBD" w:rsidRDefault="00252CBD" w:rsidP="00252CBD">
            <w:r>
              <w:t xml:space="preserve">Proti       </w:t>
            </w:r>
          </w:p>
          <w:p w:rsidR="00252CBD" w:rsidRDefault="00252CBD" w:rsidP="00252CBD">
            <w:r>
              <w:t xml:space="preserve">Zdržal sa   </w:t>
            </w:r>
          </w:p>
          <w:p w:rsidR="00252CBD" w:rsidRDefault="00252CBD" w:rsidP="00252CBD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  <w:p w:rsidR="00252CBD" w:rsidRDefault="00252CBD" w:rsidP="00252CBD">
            <w:pPr>
              <w:ind w:right="-76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252CBD" w:rsidRDefault="00252CBD" w:rsidP="00252CBD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Prítomní</w:t>
            </w:r>
          </w:p>
          <w:p w:rsidR="00252CBD" w:rsidRDefault="00252CBD" w:rsidP="00252CBD">
            <w:r>
              <w:t xml:space="preserve">Za          </w:t>
            </w:r>
          </w:p>
          <w:p w:rsidR="00252CBD" w:rsidRDefault="00252CBD" w:rsidP="00252CBD">
            <w:r>
              <w:t xml:space="preserve">Proti      </w:t>
            </w:r>
          </w:p>
          <w:p w:rsidR="00252CBD" w:rsidRDefault="00252CBD" w:rsidP="00252CBD">
            <w:r>
              <w:t xml:space="preserve">Zdržal sa  </w:t>
            </w:r>
          </w:p>
          <w:p w:rsidR="00252CBD" w:rsidRDefault="00252CBD" w:rsidP="00252CBD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kultúry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 xml:space="preserve">Prítomní  </w:t>
            </w:r>
          </w:p>
          <w:p w:rsidR="00252CBD" w:rsidRDefault="00252CBD" w:rsidP="00252CBD">
            <w:r>
              <w:t xml:space="preserve">Za            </w:t>
            </w:r>
          </w:p>
          <w:p w:rsidR="00252CBD" w:rsidRDefault="00252CBD" w:rsidP="00252CBD">
            <w:r>
              <w:t xml:space="preserve">Proti        </w:t>
            </w:r>
          </w:p>
          <w:p w:rsidR="00252CBD" w:rsidRDefault="00252CBD" w:rsidP="00252CBD">
            <w:r>
              <w:t>Zdržal sa</w:t>
            </w:r>
          </w:p>
          <w:p w:rsidR="00252CBD" w:rsidRDefault="00252CBD" w:rsidP="00252CBD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 xml:space="preserve">Prítomní  </w:t>
            </w:r>
          </w:p>
          <w:p w:rsidR="00252CBD" w:rsidRDefault="00252CBD" w:rsidP="00252CBD">
            <w:r>
              <w:t xml:space="preserve">Za            </w:t>
            </w:r>
          </w:p>
          <w:p w:rsidR="00252CBD" w:rsidRDefault="00252CBD" w:rsidP="00252CBD">
            <w:r>
              <w:t xml:space="preserve">Proti        </w:t>
            </w:r>
          </w:p>
          <w:p w:rsidR="00252CBD" w:rsidRDefault="00252CBD" w:rsidP="00252CBD">
            <w:r>
              <w:t xml:space="preserve">Zdržal sa    </w:t>
            </w:r>
          </w:p>
          <w:p w:rsidR="00252CBD" w:rsidRDefault="00252CBD" w:rsidP="00252CBD">
            <w:r>
              <w:t>Nehlasoval</w:t>
            </w:r>
          </w:p>
          <w:p w:rsidR="00252CBD" w:rsidRDefault="00252CBD" w:rsidP="00252CBD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  <w:b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>Materiál nebol prerokovaný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r>
              <w:t xml:space="preserve">Prítomní  </w:t>
            </w:r>
          </w:p>
          <w:p w:rsidR="00252CBD" w:rsidRDefault="00252CBD" w:rsidP="00252CBD">
            <w:r>
              <w:t xml:space="preserve">Za            </w:t>
            </w:r>
          </w:p>
          <w:p w:rsidR="00252CBD" w:rsidRDefault="00252CBD" w:rsidP="00252CBD">
            <w:r>
              <w:t xml:space="preserve">Proti        </w:t>
            </w:r>
          </w:p>
          <w:p w:rsidR="00252CBD" w:rsidRDefault="00252CBD" w:rsidP="00252CBD">
            <w:r>
              <w:t xml:space="preserve">Zdržal sa    </w:t>
            </w:r>
          </w:p>
          <w:p w:rsidR="00252CBD" w:rsidRDefault="00252CBD" w:rsidP="00252CBD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  <w:tr w:rsidR="00252CBD" w:rsidTr="007E7A1B">
        <w:trPr>
          <w:trHeight w:val="250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Finančná komisia</w:t>
            </w: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  <w:p w:rsidR="00252CBD" w:rsidRDefault="00252CBD" w:rsidP="00252CB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D2617">
            <w:pPr>
              <w:pBdr>
                <w:bottom w:val="single" w:sz="4" w:space="1" w:color="auto"/>
              </w:pBdr>
              <w:jc w:val="center"/>
            </w:pPr>
            <w:r w:rsidRPr="00AC77B5">
              <w:rPr>
                <w:b/>
              </w:rPr>
              <w:t xml:space="preserve">odporúča Z BSK schváliť predložený materiál </w:t>
            </w:r>
            <w:r w:rsidRPr="00AC77B5">
              <w:rPr>
                <w:bCs/>
              </w:rPr>
              <w:t>„Návrh</w:t>
            </w:r>
            <w:r w:rsidRPr="00252C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F5695">
              <w:rPr>
                <w:rFonts w:asciiTheme="minorHAnsi" w:hAnsiTheme="minorHAnsi" w:cstheme="minorHAnsi"/>
                <w:sz w:val="22"/>
                <w:szCs w:val="22"/>
              </w:rPr>
              <w:t>na predaj prebytočného majetku – nehnuteľností  pozemky  pri budove Polikliniky  Senec, v k. ú. Senec, LV č. 6488</w:t>
            </w:r>
            <w:r w:rsidR="005F5695">
              <w:rPr>
                <w:rFonts w:asciiTheme="minorHAnsi" w:hAnsiTheme="minorHAnsi" w:cstheme="minorHAnsi"/>
                <w:sz w:val="22"/>
                <w:szCs w:val="22"/>
              </w:rPr>
              <w:t xml:space="preserve"> a žiada uvádzať </w:t>
            </w:r>
            <w:r w:rsidR="0003495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5F5695">
              <w:rPr>
                <w:rFonts w:asciiTheme="minorHAnsi" w:hAnsiTheme="minorHAnsi" w:cstheme="minorHAnsi"/>
                <w:sz w:val="22"/>
                <w:szCs w:val="22"/>
              </w:rPr>
              <w:t xml:space="preserve"> dôvodovej správe výšku znaleckého posudku k materiálom týkajúcich  sa predaja </w:t>
            </w:r>
            <w:r w:rsidR="007E7A1B">
              <w:rPr>
                <w:rFonts w:asciiTheme="minorHAnsi" w:hAnsiTheme="minorHAnsi" w:cstheme="minorHAnsi"/>
                <w:sz w:val="22"/>
                <w:szCs w:val="22"/>
              </w:rPr>
              <w:t>majetku BSK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BD" w:rsidRDefault="00252CBD" w:rsidP="00252CBD">
            <w:pPr>
              <w:jc w:val="both"/>
            </w:pPr>
            <w:r>
              <w:t xml:space="preserve">Prítomní      7  </w:t>
            </w:r>
          </w:p>
          <w:p w:rsidR="00252CBD" w:rsidRDefault="00252CBD" w:rsidP="00252CBD">
            <w:pPr>
              <w:jc w:val="both"/>
            </w:pPr>
            <w:r>
              <w:t xml:space="preserve">Za                </w:t>
            </w:r>
            <w:r w:rsidR="007E7A1B">
              <w:t>6</w:t>
            </w:r>
          </w:p>
          <w:p w:rsidR="00252CBD" w:rsidRDefault="00252CBD" w:rsidP="00252CBD">
            <w:pPr>
              <w:jc w:val="both"/>
            </w:pPr>
            <w:r>
              <w:t>Proti            0</w:t>
            </w:r>
          </w:p>
          <w:p w:rsidR="00252CBD" w:rsidRDefault="00252CBD" w:rsidP="00252CBD">
            <w:pPr>
              <w:jc w:val="both"/>
            </w:pPr>
            <w:r>
              <w:t xml:space="preserve">Zdržal sa    </w:t>
            </w:r>
            <w:r w:rsidR="007E7A1B">
              <w:t>1</w:t>
            </w:r>
          </w:p>
          <w:p w:rsidR="00252CBD" w:rsidRDefault="00252CBD" w:rsidP="00252CBD">
            <w:pPr>
              <w:jc w:val="both"/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623BD1" w:rsidP="00D338B3">
            <w:r>
              <w:t>Akceptované-zapracované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BD" w:rsidRDefault="00252CBD" w:rsidP="00252CBD"/>
        </w:tc>
      </w:tr>
    </w:tbl>
    <w:p w:rsidR="00252CBD" w:rsidRDefault="00252CBD" w:rsidP="00252CBD"/>
    <w:p w:rsidR="00252CBD" w:rsidRDefault="00252CBD" w:rsidP="00252CBD">
      <w:pPr>
        <w:jc w:val="both"/>
        <w:rPr>
          <w:rFonts w:ascii="Arial" w:hAnsi="Arial" w:cs="Arial"/>
        </w:rPr>
      </w:pPr>
    </w:p>
    <w:p w:rsidR="00252CBD" w:rsidRDefault="00252CBD" w:rsidP="00252CBD"/>
    <w:p w:rsidR="00252CBD" w:rsidRDefault="00252CBD" w:rsidP="00252CBD">
      <w:pPr>
        <w:ind w:left="360"/>
        <w:jc w:val="both"/>
        <w:rPr>
          <w:rFonts w:ascii="Arial" w:hAnsi="Arial" w:cs="Arial"/>
        </w:rPr>
      </w:pPr>
    </w:p>
    <w:p w:rsidR="0007437F" w:rsidRDefault="0007437F"/>
    <w:sectPr w:rsidR="0007437F" w:rsidSect="000C59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F"/>
    <w:rsid w:val="00034959"/>
    <w:rsid w:val="0007437F"/>
    <w:rsid w:val="000C59F3"/>
    <w:rsid w:val="000D2E61"/>
    <w:rsid w:val="001C323F"/>
    <w:rsid w:val="001E7B82"/>
    <w:rsid w:val="00252CBD"/>
    <w:rsid w:val="00263F79"/>
    <w:rsid w:val="002B31F1"/>
    <w:rsid w:val="002D2617"/>
    <w:rsid w:val="003C6E46"/>
    <w:rsid w:val="0055005A"/>
    <w:rsid w:val="005F5695"/>
    <w:rsid w:val="00623BD1"/>
    <w:rsid w:val="0064738F"/>
    <w:rsid w:val="00674030"/>
    <w:rsid w:val="00796B58"/>
    <w:rsid w:val="007A3190"/>
    <w:rsid w:val="007E7A1B"/>
    <w:rsid w:val="00984A2D"/>
    <w:rsid w:val="00A03D46"/>
    <w:rsid w:val="00AE12A5"/>
    <w:rsid w:val="00D338B3"/>
    <w:rsid w:val="00E22EF4"/>
    <w:rsid w:val="00F1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4738F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2E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2EF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4738F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2E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2EF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Zuzana Lovíšková</cp:lastModifiedBy>
  <cp:revision>2</cp:revision>
  <cp:lastPrinted>2012-11-21T13:56:00Z</cp:lastPrinted>
  <dcterms:created xsi:type="dcterms:W3CDTF">2012-11-27T14:23:00Z</dcterms:created>
  <dcterms:modified xsi:type="dcterms:W3CDTF">2012-11-27T14:23:00Z</dcterms:modified>
</cp:coreProperties>
</file>